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0"/>
      </w:tblGrid>
      <w:tr w:rsidR="002A1955" w:rsidTr="002A1955">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2A1955">
              <w:tc>
                <w:tcPr>
                  <w:tcW w:w="9000" w:type="dxa"/>
                  <w:tcMar>
                    <w:top w:w="15" w:type="dxa"/>
                    <w:left w:w="15" w:type="dxa"/>
                    <w:bottom w:w="15" w:type="dxa"/>
                    <w:right w:w="15" w:type="dxa"/>
                  </w:tcMar>
                  <w:hideMark/>
                </w:tcPr>
                <w:tbl>
                  <w:tblPr>
                    <w:tblpPr w:leftFromText="30" w:rightFromText="30" w:vertAnchor="text"/>
                    <w:tblW w:w="0" w:type="auto"/>
                    <w:tblCellMar>
                      <w:left w:w="0" w:type="dxa"/>
                      <w:right w:w="0" w:type="dxa"/>
                    </w:tblCellMar>
                    <w:tblLook w:val="04A0" w:firstRow="1" w:lastRow="0" w:firstColumn="1" w:lastColumn="0" w:noHBand="0" w:noVBand="1"/>
                  </w:tblPr>
                  <w:tblGrid>
                    <w:gridCol w:w="5940"/>
                  </w:tblGrid>
                  <w:tr w:rsidR="002A1955">
                    <w:tc>
                      <w:tcPr>
                        <w:tcW w:w="0" w:type="auto"/>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5640"/>
                        </w:tblGrid>
                        <w:tr w:rsidR="002A1955">
                          <w:tc>
                            <w:tcPr>
                              <w:tcW w:w="0" w:type="auto"/>
                              <w:hideMark/>
                            </w:tcPr>
                            <w:p w:rsidR="002A1955" w:rsidRDefault="002A1955">
                              <w:pPr>
                                <w:spacing w:line="360" w:lineRule="auto"/>
                                <w:jc w:val="center"/>
                                <w:rPr>
                                  <w:rFonts w:ascii="Verdana" w:hAnsi="Verdana"/>
                                  <w:color w:val="222222"/>
                                  <w:sz w:val="21"/>
                                  <w:szCs w:val="21"/>
                                </w:rPr>
                              </w:pPr>
                              <w:r>
                                <w:rPr>
                                  <w:rFonts w:ascii="Verdana" w:hAnsi="Verdana"/>
                                  <w:noProof/>
                                  <w:color w:val="1F4086"/>
                                  <w:sz w:val="21"/>
                                  <w:szCs w:val="21"/>
                                </w:rPr>
                                <w:drawing>
                                  <wp:inline distT="0" distB="0" distL="0" distR="0">
                                    <wp:extent cx="3581400" cy="914400"/>
                                    <wp:effectExtent l="0" t="0" r="0" b="0"/>
                                    <wp:docPr id="1" name="Picture 1" descr="https://default.salsalabs.org/c8f6d103-b218-48fc-8095-797d248cf4bd/821a6195-bc38-4519-bf35-102935150e9c.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fault.salsalabs.org/c8f6d103-b218-48fc-8095-797d248cf4bd/821a6195-bc38-4519-bf35-102935150e9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914400"/>
                                            </a:xfrm>
                                            <a:prstGeom prst="rect">
                                              <a:avLst/>
                                            </a:prstGeom>
                                            <a:noFill/>
                                            <a:ln>
                                              <a:noFill/>
                                            </a:ln>
                                          </pic:spPr>
                                        </pic:pic>
                                      </a:graphicData>
                                    </a:graphic>
                                  </wp:inline>
                                </w:drawing>
                              </w:r>
                            </w:p>
                          </w:tc>
                        </w:tr>
                      </w:tbl>
                      <w:p w:rsidR="002A1955" w:rsidRDefault="002A1955">
                        <w:pPr>
                          <w:rPr>
                            <w:rFonts w:ascii="Times New Roman" w:eastAsia="Times New Roman" w:hAnsi="Times New Roman" w:cs="Times New Roman"/>
                            <w:sz w:val="20"/>
                            <w:szCs w:val="20"/>
                          </w:rPr>
                        </w:pPr>
                      </w:p>
                    </w:tc>
                  </w:tr>
                </w:tbl>
                <w:p w:rsidR="002A1955" w:rsidRDefault="002A1955">
                  <w:pPr>
                    <w:rPr>
                      <w:rFonts w:ascii="Times New Roman" w:eastAsia="Times New Roman" w:hAnsi="Times New Roman" w:cs="Times New Roman"/>
                      <w:sz w:val="20"/>
                      <w:szCs w:val="20"/>
                    </w:rPr>
                  </w:pPr>
                </w:p>
              </w:tc>
            </w:tr>
          </w:tbl>
          <w:p w:rsidR="002A1955" w:rsidRDefault="002A1955">
            <w:pPr>
              <w:rPr>
                <w:rFonts w:ascii="Times New Roman" w:eastAsia="Times New Roman" w:hAnsi="Times New Roman" w:cs="Times New Roman"/>
                <w:sz w:val="20"/>
                <w:szCs w:val="20"/>
              </w:rPr>
            </w:pPr>
          </w:p>
        </w:tc>
      </w:tr>
      <w:tr w:rsidR="002A1955" w:rsidTr="002A1955">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2A1955">
              <w:tc>
                <w:tcPr>
                  <w:tcW w:w="9000" w:type="dxa"/>
                  <w:tcMar>
                    <w:top w:w="15" w:type="dxa"/>
                    <w:left w:w="15" w:type="dxa"/>
                    <w:bottom w:w="15" w:type="dxa"/>
                    <w:right w:w="15" w:type="dxa"/>
                  </w:tcMar>
                  <w:hideMark/>
                </w:tcPr>
                <w:tbl>
                  <w:tblPr>
                    <w:tblpPr w:leftFromText="30" w:rightFromText="30" w:vertAnchor="text"/>
                    <w:tblW w:w="0" w:type="auto"/>
                    <w:tblCellMar>
                      <w:left w:w="0" w:type="dxa"/>
                      <w:right w:w="0" w:type="dxa"/>
                    </w:tblCellMar>
                    <w:tblLook w:val="04A0" w:firstRow="1" w:lastRow="0" w:firstColumn="1" w:lastColumn="0" w:noHBand="0" w:noVBand="1"/>
                  </w:tblPr>
                  <w:tblGrid>
                    <w:gridCol w:w="9330"/>
                  </w:tblGrid>
                  <w:tr w:rsidR="002A1955">
                    <w:tc>
                      <w:tcPr>
                        <w:tcW w:w="0" w:type="auto"/>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030"/>
                        </w:tblGrid>
                        <w:tr w:rsidR="002A1955">
                          <w:tc>
                            <w:tcPr>
                              <w:tcW w:w="0" w:type="auto"/>
                              <w:hideMark/>
                            </w:tcPr>
                            <w:tbl>
                              <w:tblPr>
                                <w:tblW w:w="5000" w:type="pct"/>
                                <w:tblCellMar>
                                  <w:left w:w="0" w:type="dxa"/>
                                  <w:right w:w="0" w:type="dxa"/>
                                </w:tblCellMar>
                                <w:tblLook w:val="04A0" w:firstRow="1" w:lastRow="0" w:firstColumn="1" w:lastColumn="0" w:noHBand="0" w:noVBand="1"/>
                              </w:tblPr>
                              <w:tblGrid>
                                <w:gridCol w:w="9030"/>
                              </w:tblGrid>
                              <w:tr w:rsidR="002A1955">
                                <w:tc>
                                  <w:tcPr>
                                    <w:tcW w:w="0" w:type="auto"/>
                                    <w:hideMark/>
                                  </w:tcPr>
                                  <w:p w:rsidR="002A1955" w:rsidRDefault="002A1955">
                                    <w:pPr>
                                      <w:pStyle w:val="NormalWeb"/>
                                      <w:spacing w:after="300" w:afterAutospacing="0" w:line="360" w:lineRule="auto"/>
                                      <w:rPr>
                                        <w:rFonts w:ascii="Verdana" w:hAnsi="Verdana"/>
                                        <w:color w:val="222222"/>
                                        <w:sz w:val="21"/>
                                        <w:szCs w:val="21"/>
                                      </w:rPr>
                                    </w:pPr>
                                    <w:r>
                                      <w:rPr>
                                        <w:rFonts w:ascii="Verdana" w:hAnsi="Verdana"/>
                                        <w:color w:val="222222"/>
                                        <w:sz w:val="21"/>
                                        <w:szCs w:val="21"/>
                                      </w:rPr>
                                      <w:t xml:space="preserve">The Trump Administration has </w:t>
                                    </w:r>
                                    <w:hyperlink r:id="rId7" w:tgtFrame="_top" w:history="1">
                                      <w:r>
                                        <w:rPr>
                                          <w:rStyle w:val="Hyperlink"/>
                                          <w:rFonts w:ascii="Verdana" w:hAnsi="Verdana"/>
                                          <w:color w:val="1F4086"/>
                                          <w:sz w:val="21"/>
                                          <w:szCs w:val="21"/>
                                        </w:rPr>
                                        <w:t>proposed a new rule</w:t>
                                      </w:r>
                                    </w:hyperlink>
                                    <w:r>
                                      <w:rPr>
                                        <w:rFonts w:ascii="Verdana" w:hAnsi="Verdana"/>
                                        <w:color w:val="222222"/>
                                        <w:sz w:val="21"/>
                                        <w:szCs w:val="21"/>
                                      </w:rPr>
                                      <w:t xml:space="preserve"> that would restrict broad-based categorical eligibility for the Supplemental Nutrition Assistance Program (SNAP). This dangerous proposal would take away vital food and nutrition from 3 million people, including over 600,000 seniors.  </w:t>
                                    </w:r>
                                  </w:p>
                                  <w:p w:rsidR="002A1955" w:rsidRDefault="002A1955">
                                    <w:pPr>
                                      <w:pStyle w:val="NormalWeb"/>
                                      <w:spacing w:after="300" w:afterAutospacing="0" w:line="360" w:lineRule="auto"/>
                                      <w:rPr>
                                        <w:rFonts w:ascii="Verdana" w:hAnsi="Verdana"/>
                                        <w:color w:val="222222"/>
                                        <w:sz w:val="21"/>
                                        <w:szCs w:val="21"/>
                                      </w:rPr>
                                    </w:pPr>
                                    <w:r>
                                      <w:rPr>
                                        <w:rFonts w:ascii="Verdana" w:hAnsi="Verdana"/>
                                        <w:color w:val="222222"/>
                                        <w:sz w:val="21"/>
                                        <w:szCs w:val="21"/>
                                      </w:rPr>
                                      <w:t xml:space="preserve">Specifically, the proposed rule eliminates the state option to use Broad Based Categorical Eligibility (BBCE), which is currently used by over 40 states to waive restrictive asset tests and ease administrative burdens. Congress rejected this proposed change by removing it from the last year’s Farm Bill, but now the US Department of Agriculture (USDA) is trying to limit SNAP eligibility through regulations.  </w:t>
                                    </w:r>
                                  </w:p>
                                  <w:p w:rsidR="002A1955" w:rsidRDefault="002A1955">
                                    <w:pPr>
                                      <w:pStyle w:val="Heading4"/>
                                      <w:spacing w:line="360" w:lineRule="auto"/>
                                      <w:rPr>
                                        <w:rFonts w:ascii="Verdana" w:eastAsia="Times New Roman" w:hAnsi="Verdana"/>
                                        <w:color w:val="222222"/>
                                      </w:rPr>
                                    </w:pPr>
                                    <w:r>
                                      <w:rPr>
                                        <w:rFonts w:ascii="Verdana" w:eastAsia="Times New Roman" w:hAnsi="Verdana"/>
                                        <w:color w:val="414141"/>
                                      </w:rPr>
                                      <w:t xml:space="preserve">Tell the USDA’s Food and Nutrition Service to protect SNAP for older adults and their families. </w:t>
                                    </w:r>
                                  </w:p>
                                  <w:p w:rsidR="002A1955" w:rsidRDefault="002A1955">
                                    <w:pPr>
                                      <w:pStyle w:val="NormalWeb"/>
                                      <w:spacing w:after="300" w:afterAutospacing="0" w:line="360" w:lineRule="auto"/>
                                      <w:rPr>
                                        <w:rFonts w:ascii="Verdana" w:hAnsi="Verdana"/>
                                        <w:color w:val="222222"/>
                                        <w:sz w:val="21"/>
                                        <w:szCs w:val="21"/>
                                      </w:rPr>
                                    </w:pPr>
                                    <w:r>
                                      <w:rPr>
                                        <w:rFonts w:ascii="Verdana" w:hAnsi="Verdana"/>
                                        <w:color w:val="414141"/>
                                        <w:sz w:val="21"/>
                                        <w:szCs w:val="21"/>
                                      </w:rPr>
                                      <w:t>Use the</w:t>
                                    </w:r>
                                    <w:r>
                                      <w:rPr>
                                        <w:rFonts w:ascii="Verdana" w:hAnsi="Verdana"/>
                                        <w:color w:val="222222"/>
                                        <w:sz w:val="21"/>
                                        <w:szCs w:val="21"/>
                                      </w:rPr>
                                      <w:t xml:space="preserve"> </w:t>
                                    </w:r>
                                    <w:hyperlink r:id="rId8" w:tgtFrame="_top" w:history="1">
                                      <w:r>
                                        <w:rPr>
                                          <w:rStyle w:val="Hyperlink"/>
                                          <w:rFonts w:ascii="Verdana" w:hAnsi="Verdana"/>
                                          <w:color w:val="1F4086"/>
                                          <w:sz w:val="21"/>
                                          <w:szCs w:val="21"/>
                                        </w:rPr>
                                        <w:t>National Council on Aging’s comment portal</w:t>
                                      </w:r>
                                    </w:hyperlink>
                                    <w:r>
                                      <w:rPr>
                                        <w:rFonts w:ascii="Verdana" w:hAnsi="Verdana"/>
                                        <w:color w:val="222222"/>
                                        <w:sz w:val="21"/>
                                        <w:szCs w:val="21"/>
                                      </w:rPr>
                                      <w:t xml:space="preserve"> </w:t>
                                    </w:r>
                                    <w:r>
                                      <w:rPr>
                                        <w:rFonts w:ascii="Verdana" w:hAnsi="Verdana"/>
                                        <w:color w:val="414141"/>
                                        <w:sz w:val="21"/>
                                        <w:szCs w:val="21"/>
                                      </w:rPr>
                                      <w:t>to send a personalized comment opposing this proposed rule today! Organizations can use the resources below to</w:t>
                                    </w:r>
                                    <w:r>
                                      <w:rPr>
                                        <w:rFonts w:ascii="Verdana" w:hAnsi="Verdana"/>
                                        <w:color w:val="222222"/>
                                        <w:sz w:val="21"/>
                                        <w:szCs w:val="21"/>
                                      </w:rPr>
                                      <w:t xml:space="preserve"> </w:t>
                                    </w:r>
                                    <w:hyperlink r:id="rId9" w:tgtFrame="_top" w:history="1">
                                      <w:r>
                                        <w:rPr>
                                          <w:rStyle w:val="Hyperlink"/>
                                          <w:rFonts w:ascii="Verdana" w:hAnsi="Verdana"/>
                                          <w:color w:val="1F4086"/>
                                          <w:sz w:val="21"/>
                                          <w:szCs w:val="21"/>
                                        </w:rPr>
                                        <w:t>submit comments on regulations.gov</w:t>
                                      </w:r>
                                    </w:hyperlink>
                                    <w:r>
                                      <w:rPr>
                                        <w:rFonts w:ascii="Verdana" w:hAnsi="Verdana"/>
                                        <w:color w:val="222222"/>
                                        <w:sz w:val="21"/>
                                        <w:szCs w:val="21"/>
                                      </w:rPr>
                                      <w:t xml:space="preserve">.  </w:t>
                                    </w:r>
                                  </w:p>
                                  <w:p w:rsidR="002A1955" w:rsidRDefault="002A1955">
                                    <w:pPr>
                                      <w:pStyle w:val="NormalWeb"/>
                                      <w:spacing w:after="300" w:afterAutospacing="0" w:line="360" w:lineRule="auto"/>
                                      <w:rPr>
                                        <w:rFonts w:ascii="Verdana" w:hAnsi="Verdana"/>
                                        <w:color w:val="222222"/>
                                        <w:sz w:val="21"/>
                                        <w:szCs w:val="21"/>
                                      </w:rPr>
                                    </w:pPr>
                                    <w:r>
                                      <w:rPr>
                                        <w:rStyle w:val="Strong"/>
                                        <w:rFonts w:ascii="Verdana" w:hAnsi="Verdana"/>
                                        <w:color w:val="C4681A"/>
                                        <w:sz w:val="21"/>
                                        <w:szCs w:val="21"/>
                                      </w:rPr>
                                      <w:t>The 60-day public comment period ends on September 23.</w:t>
                                    </w:r>
                                    <w:r>
                                      <w:rPr>
                                        <w:rFonts w:ascii="Verdana" w:hAnsi="Verdana"/>
                                        <w:color w:val="222222"/>
                                        <w:sz w:val="21"/>
                                        <w:szCs w:val="21"/>
                                      </w:rPr>
                                      <w:t xml:space="preserve"> </w:t>
                                    </w:r>
                                  </w:p>
                                  <w:p w:rsidR="002A1955" w:rsidRDefault="002A1955">
                                    <w:pPr>
                                      <w:pStyle w:val="Heading4"/>
                                      <w:spacing w:line="360" w:lineRule="auto"/>
                                      <w:rPr>
                                        <w:rFonts w:ascii="Verdana" w:eastAsia="Times New Roman" w:hAnsi="Verdana"/>
                                        <w:color w:val="222222"/>
                                      </w:rPr>
                                    </w:pPr>
                                    <w:r>
                                      <w:rPr>
                                        <w:rFonts w:ascii="Verdana" w:eastAsia="Times New Roman" w:hAnsi="Verdana"/>
                                        <w:color w:val="414141"/>
                                      </w:rPr>
                                      <w:t>More Information and Resources</w:t>
                                    </w:r>
                                    <w:r>
                                      <w:rPr>
                                        <w:rFonts w:ascii="Verdana" w:eastAsia="Times New Roman" w:hAnsi="Verdana"/>
                                        <w:color w:val="222222"/>
                                      </w:rPr>
                                      <w:t xml:space="preserve"> </w:t>
                                    </w:r>
                                  </w:p>
                                  <w:p w:rsidR="002A1955" w:rsidRDefault="002A1955">
                                    <w:pPr>
                                      <w:spacing w:before="100" w:beforeAutospacing="1" w:after="100" w:afterAutospacing="1" w:line="360" w:lineRule="auto"/>
                                      <w:ind w:left="240" w:hanging="360"/>
                                      <w:rPr>
                                        <w:rFonts w:ascii="Verdana" w:hAnsi="Verdana"/>
                                        <w:color w:val="222222"/>
                                        <w:sz w:val="21"/>
                                        <w:szCs w:val="21"/>
                                      </w:rPr>
                                    </w:pPr>
                                    <w:r>
                                      <w:rPr>
                                        <w:rFonts w:ascii="Symbol" w:hAnsi="Symbol"/>
                                        <w:color w:val="222222"/>
                                        <w:sz w:val="20"/>
                                        <w:szCs w:val="20"/>
                                      </w:rPr>
                                      <w:t></w:t>
                                    </w:r>
                                    <w:r>
                                      <w:rPr>
                                        <w:rFonts w:ascii="Times New Roman" w:hAnsi="Times New Roman" w:cs="Times New Roman"/>
                                        <w:color w:val="222222"/>
                                        <w:sz w:val="14"/>
                                        <w:szCs w:val="14"/>
                                      </w:rPr>
                                      <w:t xml:space="preserve">       </w:t>
                                    </w:r>
                                    <w:hyperlink r:id="rId10" w:tgtFrame="_top" w:history="1">
                                      <w:r>
                                        <w:rPr>
                                          <w:rStyle w:val="Hyperlink"/>
                                          <w:rFonts w:ascii="Verdana" w:hAnsi="Verdana"/>
                                          <w:b/>
                                          <w:bCs/>
                                          <w:color w:val="1F4086"/>
                                          <w:sz w:val="21"/>
                                          <w:szCs w:val="21"/>
                                        </w:rPr>
                                        <w:t>NCOA’s Hunger and Nutrition Advocacy Toolkit</w:t>
                                      </w:r>
                                    </w:hyperlink>
                                    <w:r>
                                      <w:rPr>
                                        <w:rFonts w:ascii="Verdana" w:hAnsi="Verdana"/>
                                        <w:color w:val="222222"/>
                                        <w:sz w:val="21"/>
                                        <w:szCs w:val="21"/>
                                      </w:rPr>
                                      <w:t xml:space="preserve"> </w:t>
                                    </w:r>
                                  </w:p>
                                  <w:p w:rsidR="002A1955" w:rsidRDefault="002A1955">
                                    <w:pPr>
                                      <w:spacing w:before="100" w:beforeAutospacing="1" w:after="100" w:afterAutospacing="1" w:line="360" w:lineRule="auto"/>
                                      <w:ind w:left="240" w:hanging="360"/>
                                      <w:rPr>
                                        <w:rFonts w:ascii="Verdana" w:hAnsi="Verdana"/>
                                        <w:color w:val="222222"/>
                                        <w:sz w:val="21"/>
                                        <w:szCs w:val="21"/>
                                      </w:rPr>
                                    </w:pPr>
                                    <w:r>
                                      <w:rPr>
                                        <w:rFonts w:ascii="Symbol" w:hAnsi="Symbol"/>
                                        <w:color w:val="222222"/>
                                        <w:sz w:val="20"/>
                                        <w:szCs w:val="20"/>
                                      </w:rPr>
                                      <w:t></w:t>
                                    </w:r>
                                    <w:r>
                                      <w:rPr>
                                        <w:rFonts w:ascii="Times New Roman" w:hAnsi="Times New Roman" w:cs="Times New Roman"/>
                                        <w:color w:val="222222"/>
                                        <w:sz w:val="14"/>
                                        <w:szCs w:val="14"/>
                                      </w:rPr>
                                      <w:t xml:space="preserve">       </w:t>
                                    </w:r>
                                    <w:hyperlink r:id="rId11" w:tgtFrame="_top" w:history="1">
                                      <w:r>
                                        <w:rPr>
                                          <w:rStyle w:val="Hyperlink"/>
                                          <w:rFonts w:ascii="Verdana" w:hAnsi="Verdana"/>
                                          <w:b/>
                                          <w:bCs/>
                                          <w:color w:val="1F4086"/>
                                          <w:sz w:val="21"/>
                                          <w:szCs w:val="21"/>
                                        </w:rPr>
                                        <w:t>Center on Budget and Policy Priorities Report</w:t>
                                      </w:r>
                                    </w:hyperlink>
                                    <w:r>
                                      <w:rPr>
                                        <w:rFonts w:ascii="Verdana" w:hAnsi="Verdana"/>
                                        <w:color w:val="222222"/>
                                        <w:sz w:val="21"/>
                                        <w:szCs w:val="21"/>
                                      </w:rPr>
                                      <w:t xml:space="preserve"> </w:t>
                                    </w:r>
                                  </w:p>
                                  <w:p w:rsidR="002A1955" w:rsidRDefault="002A1955">
                                    <w:pPr>
                                      <w:spacing w:before="100" w:beforeAutospacing="1" w:after="100" w:afterAutospacing="1" w:line="360" w:lineRule="auto"/>
                                      <w:ind w:left="240" w:hanging="360"/>
                                      <w:rPr>
                                        <w:rFonts w:ascii="Verdana" w:hAnsi="Verdana"/>
                                        <w:color w:val="222222"/>
                                        <w:sz w:val="21"/>
                                        <w:szCs w:val="21"/>
                                      </w:rPr>
                                    </w:pPr>
                                    <w:r>
                                      <w:rPr>
                                        <w:rFonts w:ascii="Symbol" w:hAnsi="Symbol"/>
                                        <w:color w:val="222222"/>
                                        <w:sz w:val="20"/>
                                        <w:szCs w:val="20"/>
                                      </w:rPr>
                                      <w:t></w:t>
                                    </w:r>
                                    <w:r>
                                      <w:rPr>
                                        <w:rFonts w:ascii="Times New Roman" w:hAnsi="Times New Roman" w:cs="Times New Roman"/>
                                        <w:color w:val="222222"/>
                                        <w:sz w:val="14"/>
                                        <w:szCs w:val="14"/>
                                      </w:rPr>
                                      <w:t xml:space="preserve">       </w:t>
                                    </w:r>
                                    <w:hyperlink r:id="rId12" w:tgtFrame="_top" w:history="1">
                                      <w:r>
                                        <w:rPr>
                                          <w:rStyle w:val="Hyperlink"/>
                                          <w:rFonts w:ascii="Verdana" w:hAnsi="Verdana"/>
                                          <w:b/>
                                          <w:bCs/>
                                          <w:color w:val="1F4086"/>
                                          <w:sz w:val="21"/>
                                          <w:szCs w:val="21"/>
                                        </w:rPr>
                                        <w:t>Food Research and Action Center’s Toolkit</w:t>
                                      </w:r>
                                    </w:hyperlink>
                                    <w:r>
                                      <w:rPr>
                                        <w:rFonts w:ascii="Verdana" w:hAnsi="Verdana"/>
                                        <w:color w:val="222222"/>
                                        <w:sz w:val="21"/>
                                        <w:szCs w:val="21"/>
                                      </w:rPr>
                                      <w:t xml:space="preserve">  </w:t>
                                    </w:r>
                                  </w:p>
                                </w:tc>
                              </w:tr>
                            </w:tbl>
                            <w:p w:rsidR="002A1955" w:rsidRDefault="002A1955">
                              <w:pPr>
                                <w:rPr>
                                  <w:rFonts w:ascii="Times New Roman" w:eastAsia="Times New Roman" w:hAnsi="Times New Roman" w:cs="Times New Roman"/>
                                  <w:sz w:val="20"/>
                                  <w:szCs w:val="20"/>
                                </w:rPr>
                              </w:pPr>
                            </w:p>
                          </w:tc>
                        </w:tr>
                      </w:tbl>
                      <w:p w:rsidR="002A1955" w:rsidRDefault="002A1955">
                        <w:pPr>
                          <w:rPr>
                            <w:rFonts w:ascii="Times New Roman" w:eastAsia="Times New Roman" w:hAnsi="Times New Roman" w:cs="Times New Roman"/>
                            <w:sz w:val="20"/>
                            <w:szCs w:val="20"/>
                          </w:rPr>
                        </w:pPr>
                      </w:p>
                    </w:tc>
                  </w:tr>
                </w:tbl>
                <w:p w:rsidR="002A1955" w:rsidRDefault="002A1955">
                  <w:pPr>
                    <w:rPr>
                      <w:rFonts w:ascii="Times New Roman" w:eastAsia="Times New Roman" w:hAnsi="Times New Roman" w:cs="Times New Roman"/>
                      <w:sz w:val="20"/>
                      <w:szCs w:val="20"/>
                    </w:rPr>
                  </w:pPr>
                </w:p>
              </w:tc>
            </w:tr>
          </w:tbl>
          <w:p w:rsidR="002A1955" w:rsidRDefault="002A1955">
            <w:pPr>
              <w:rPr>
                <w:rFonts w:ascii="Times New Roman" w:eastAsia="Times New Roman" w:hAnsi="Times New Roman" w:cs="Times New Roman"/>
                <w:sz w:val="20"/>
                <w:szCs w:val="20"/>
              </w:rPr>
            </w:pPr>
          </w:p>
        </w:tc>
      </w:tr>
    </w:tbl>
    <w:p w:rsidR="001D7741" w:rsidRDefault="001D7741">
      <w:bookmarkStart w:id="0" w:name="_GoBack"/>
      <w:bookmarkEnd w:id="0"/>
    </w:p>
    <w:sectPr w:rsidR="001D7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55"/>
    <w:rsid w:val="001D7741"/>
    <w:rsid w:val="002A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55"/>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2A1955"/>
    <w:pPr>
      <w:spacing w:before="120" w:after="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A1955"/>
    <w:rPr>
      <w:rFonts w:ascii="Calibri" w:hAnsi="Calibri" w:cs="Calibri"/>
      <w:b/>
      <w:bCs/>
      <w:sz w:val="24"/>
      <w:szCs w:val="24"/>
    </w:rPr>
  </w:style>
  <w:style w:type="character" w:styleId="Hyperlink">
    <w:name w:val="Hyperlink"/>
    <w:basedOn w:val="DefaultParagraphFont"/>
    <w:uiPriority w:val="99"/>
    <w:semiHidden/>
    <w:unhideWhenUsed/>
    <w:rsid w:val="002A1955"/>
    <w:rPr>
      <w:color w:val="0000FF"/>
      <w:u w:val="single"/>
    </w:rPr>
  </w:style>
  <w:style w:type="paragraph" w:styleId="NormalWeb">
    <w:name w:val="Normal (Web)"/>
    <w:basedOn w:val="Normal"/>
    <w:uiPriority w:val="99"/>
    <w:semiHidden/>
    <w:unhideWhenUsed/>
    <w:rsid w:val="002A1955"/>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2A1955"/>
    <w:rPr>
      <w:b/>
      <w:bCs/>
    </w:rPr>
  </w:style>
  <w:style w:type="paragraph" w:styleId="BalloonText">
    <w:name w:val="Balloon Text"/>
    <w:basedOn w:val="Normal"/>
    <w:link w:val="BalloonTextChar"/>
    <w:uiPriority w:val="99"/>
    <w:semiHidden/>
    <w:unhideWhenUsed/>
    <w:rsid w:val="002A1955"/>
    <w:rPr>
      <w:rFonts w:ascii="Tahoma" w:hAnsi="Tahoma" w:cs="Tahoma"/>
      <w:sz w:val="16"/>
      <w:szCs w:val="16"/>
    </w:rPr>
  </w:style>
  <w:style w:type="character" w:customStyle="1" w:styleId="BalloonTextChar">
    <w:name w:val="Balloon Text Char"/>
    <w:basedOn w:val="DefaultParagraphFont"/>
    <w:link w:val="BalloonText"/>
    <w:uiPriority w:val="99"/>
    <w:semiHidden/>
    <w:rsid w:val="002A1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55"/>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2A1955"/>
    <w:pPr>
      <w:spacing w:before="120" w:after="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A1955"/>
    <w:rPr>
      <w:rFonts w:ascii="Calibri" w:hAnsi="Calibri" w:cs="Calibri"/>
      <w:b/>
      <w:bCs/>
      <w:sz w:val="24"/>
      <w:szCs w:val="24"/>
    </w:rPr>
  </w:style>
  <w:style w:type="character" w:styleId="Hyperlink">
    <w:name w:val="Hyperlink"/>
    <w:basedOn w:val="DefaultParagraphFont"/>
    <w:uiPriority w:val="99"/>
    <w:semiHidden/>
    <w:unhideWhenUsed/>
    <w:rsid w:val="002A1955"/>
    <w:rPr>
      <w:color w:val="0000FF"/>
      <w:u w:val="single"/>
    </w:rPr>
  </w:style>
  <w:style w:type="paragraph" w:styleId="NormalWeb">
    <w:name w:val="Normal (Web)"/>
    <w:basedOn w:val="Normal"/>
    <w:uiPriority w:val="99"/>
    <w:semiHidden/>
    <w:unhideWhenUsed/>
    <w:rsid w:val="002A1955"/>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2A1955"/>
    <w:rPr>
      <w:b/>
      <w:bCs/>
    </w:rPr>
  </w:style>
  <w:style w:type="paragraph" w:styleId="BalloonText">
    <w:name w:val="Balloon Text"/>
    <w:basedOn w:val="Normal"/>
    <w:link w:val="BalloonTextChar"/>
    <w:uiPriority w:val="99"/>
    <w:semiHidden/>
    <w:unhideWhenUsed/>
    <w:rsid w:val="002A1955"/>
    <w:rPr>
      <w:rFonts w:ascii="Tahoma" w:hAnsi="Tahoma" w:cs="Tahoma"/>
      <w:sz w:val="16"/>
      <w:szCs w:val="16"/>
    </w:rPr>
  </w:style>
  <w:style w:type="character" w:customStyle="1" w:styleId="BalloonTextChar">
    <w:name w:val="Balloon Text Char"/>
    <w:basedOn w:val="DefaultParagraphFont"/>
    <w:link w:val="BalloonText"/>
    <w:uiPriority w:val="99"/>
    <w:semiHidden/>
    <w:rsid w:val="002A1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ault.salsalabs.org/T95b74175-41e1-4c24-a880-8e21dcda7e7b/abe50a78-7241-4494-837d-04b4f6ee90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fault.salsalabs.org/Ta906e8b9-d42f-4a4a-8a76-b50a39887125/abe50a78-7241-4494-837d-04b4f6ee9086" TargetMode="External"/><Relationship Id="rId12" Type="http://schemas.openxmlformats.org/officeDocument/2006/relationships/hyperlink" Target="https://default.salsalabs.org/Tc5938a1b-ef0c-4e46-b523-d9e05f567863/abe50a78-7241-4494-837d-04b4f6ee908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efault.salsalabs.org/Te6341e80-b71e-44a9-9fb4-36d347173fb8/abe50a78-7241-4494-837d-04b4f6ee9086" TargetMode="External"/><Relationship Id="rId5" Type="http://schemas.openxmlformats.org/officeDocument/2006/relationships/hyperlink" Target="https://default.salsalabs.org/Te5918eda-3f5a-4dd7-b4d8-8eac97262f3d/abe50a78-7241-4494-837d-04b4f6ee9086" TargetMode="External"/><Relationship Id="rId10" Type="http://schemas.openxmlformats.org/officeDocument/2006/relationships/hyperlink" Target="https://default.salsalabs.org/T5d9e98df-b60f-4bcf-94b1-83e86142198d/abe50a78-7241-4494-837d-04b4f6ee9086" TargetMode="External"/><Relationship Id="rId4" Type="http://schemas.openxmlformats.org/officeDocument/2006/relationships/webSettings" Target="webSettings.xml"/><Relationship Id="rId9" Type="http://schemas.openxmlformats.org/officeDocument/2006/relationships/hyperlink" Target="https://default.salsalabs.org/T5756cd5d-2da6-4891-afb7-9c400dce2ea8/abe50a78-7241-4494-837d-04b4f6ee90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2019-09-20T19:42:00Z</dcterms:created>
  <dcterms:modified xsi:type="dcterms:W3CDTF">2019-09-20T19:43:00Z</dcterms:modified>
</cp:coreProperties>
</file>